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Pr="008041D4" w:rsidRDefault="00783470" w:rsidP="00783470">
      <w:pPr>
        <w:jc w:val="center"/>
        <w:rPr>
          <w:rFonts w:ascii="Arial" w:hAnsi="Arial" w:cs="Arial"/>
          <w:sz w:val="24"/>
          <w:szCs w:val="24"/>
        </w:rPr>
      </w:pPr>
      <w:r w:rsidRPr="008041D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8041D4" w:rsidRDefault="00E40904" w:rsidP="00771A2F">
      <w:pPr>
        <w:jc w:val="center"/>
        <w:rPr>
          <w:rFonts w:ascii="Arial" w:hAnsi="Arial" w:cs="Arial"/>
          <w:sz w:val="18"/>
          <w:szCs w:val="18"/>
        </w:rPr>
      </w:pPr>
      <w:r w:rsidRPr="008041D4">
        <w:rPr>
          <w:rFonts w:ascii="Arial" w:hAnsi="Arial" w:cs="Arial"/>
          <w:i/>
          <w:iCs/>
          <w:sz w:val="18"/>
          <w:szCs w:val="18"/>
        </w:rPr>
        <w:t xml:space="preserve">„Wzmocnienie kompetencji i kwalifikacji Straży Granicznej w obszarze powrotów” </w:t>
      </w:r>
      <w:r w:rsidRPr="008041D4">
        <w:rPr>
          <w:rFonts w:ascii="Arial" w:hAnsi="Arial" w:cs="Arial"/>
          <w:sz w:val="18"/>
          <w:szCs w:val="18"/>
        </w:rPr>
        <w:t>projekt nr FAMI.03.01-IZ.00-0003/24</w:t>
      </w:r>
    </w:p>
    <w:p w:rsidR="004018A0" w:rsidRPr="008041D4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8041D4">
        <w:rPr>
          <w:rFonts w:ascii="Arial" w:hAnsi="Arial" w:cs="Arial"/>
          <w:sz w:val="20"/>
          <w:szCs w:val="20"/>
        </w:rPr>
        <w:t>Załącznik nr 1</w:t>
      </w:r>
    </w:p>
    <w:p w:rsidR="004018A0" w:rsidRPr="008041D4" w:rsidRDefault="005C6F6D" w:rsidP="008041D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041D4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Pr="00C17BF9" w:rsidRDefault="005C6F6D" w:rsidP="008041D4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C17BF9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C17BF9">
        <w:rPr>
          <w:rFonts w:ascii="Arial" w:hAnsi="Arial" w:cs="Arial"/>
          <w:sz w:val="20"/>
          <w:szCs w:val="20"/>
        </w:rPr>
        <w:t xml:space="preserve">w zakresie przeprowadzenia </w:t>
      </w:r>
      <w:r w:rsidR="008041D4" w:rsidRPr="00C17BF9">
        <w:rPr>
          <w:rFonts w:ascii="Arial" w:hAnsi="Arial" w:cs="Arial"/>
          <w:sz w:val="20"/>
          <w:szCs w:val="20"/>
        </w:rPr>
        <w:t xml:space="preserve">zajęć dydaktycznych w ramach </w:t>
      </w:r>
      <w:r w:rsidR="008041D4" w:rsidRPr="00C17BF9">
        <w:rPr>
          <w:rFonts w:ascii="Arial" w:hAnsi="Arial" w:cs="Arial"/>
          <w:sz w:val="20"/>
          <w:szCs w:val="20"/>
        </w:rPr>
        <w:t>kursu doskonalącego pt. „Społeczno-kulturowe aspe</w:t>
      </w:r>
      <w:r w:rsidR="008041D4" w:rsidRPr="00C17BF9">
        <w:rPr>
          <w:rFonts w:ascii="Arial" w:hAnsi="Arial" w:cs="Arial"/>
          <w:sz w:val="20"/>
          <w:szCs w:val="20"/>
        </w:rPr>
        <w:t xml:space="preserve">kty komunikacji </w:t>
      </w:r>
      <w:r w:rsidR="008041D4" w:rsidRPr="00C17BF9">
        <w:rPr>
          <w:rFonts w:ascii="Arial" w:hAnsi="Arial" w:cs="Arial"/>
          <w:sz w:val="20"/>
          <w:szCs w:val="20"/>
        </w:rPr>
        <w:br/>
        <w:t xml:space="preserve">z cudzoziemcami </w:t>
      </w:r>
      <w:r w:rsidR="008041D4" w:rsidRPr="00C17BF9">
        <w:rPr>
          <w:rFonts w:ascii="Arial" w:hAnsi="Arial" w:cs="Arial"/>
          <w:sz w:val="20"/>
          <w:szCs w:val="20"/>
        </w:rPr>
        <w:t xml:space="preserve">z wybranych państw Subkontynentu Indyjskiego”, </w:t>
      </w:r>
      <w:r w:rsidR="008041D4" w:rsidRPr="00C17BF9">
        <w:rPr>
          <w:rFonts w:ascii="Arial" w:hAnsi="Arial" w:cs="Arial"/>
          <w:sz w:val="20"/>
          <w:szCs w:val="20"/>
        </w:rPr>
        <w:t xml:space="preserve">skierowanego do funkcjonariuszy </w:t>
      </w:r>
      <w:r w:rsidR="008041D4" w:rsidRPr="00C17BF9">
        <w:rPr>
          <w:rFonts w:ascii="Arial" w:hAnsi="Arial" w:cs="Arial"/>
          <w:sz w:val="20"/>
          <w:szCs w:val="20"/>
        </w:rPr>
        <w:br/>
      </w:r>
      <w:r w:rsidR="008041D4" w:rsidRPr="00C17BF9">
        <w:rPr>
          <w:rFonts w:ascii="Arial" w:hAnsi="Arial" w:cs="Arial"/>
          <w:sz w:val="20"/>
          <w:szCs w:val="20"/>
        </w:rPr>
        <w:t>i pracowników SG.</w:t>
      </w:r>
    </w:p>
    <w:p w:rsidR="0029698D" w:rsidRPr="00C17BF9" w:rsidRDefault="00B046F3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sz w:val="20"/>
          <w:szCs w:val="20"/>
        </w:rPr>
        <w:t>Zajęcia</w:t>
      </w:r>
      <w:r w:rsidR="003F4FF9" w:rsidRPr="00C17BF9">
        <w:rPr>
          <w:rFonts w:ascii="Arial" w:hAnsi="Arial" w:cs="Arial"/>
          <w:sz w:val="20"/>
          <w:szCs w:val="20"/>
        </w:rPr>
        <w:t xml:space="preserve"> </w:t>
      </w:r>
      <w:r w:rsidRPr="00C17BF9">
        <w:rPr>
          <w:rFonts w:ascii="Arial" w:hAnsi="Arial" w:cs="Arial"/>
          <w:sz w:val="20"/>
          <w:szCs w:val="20"/>
        </w:rPr>
        <w:t>realizowane będą</w:t>
      </w:r>
      <w:r w:rsidR="007051C8" w:rsidRPr="00C17BF9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 w:rsidRPr="00C17BF9">
        <w:rPr>
          <w:rFonts w:ascii="Arial" w:hAnsi="Arial" w:cs="Arial"/>
          <w:sz w:val="20"/>
          <w:szCs w:val="20"/>
        </w:rPr>
        <w:br/>
      </w:r>
      <w:r w:rsidR="007051C8" w:rsidRPr="00C17BF9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C17BF9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C17BF9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b/>
          <w:sz w:val="20"/>
          <w:szCs w:val="20"/>
        </w:rPr>
        <w:t>Termin</w:t>
      </w:r>
      <w:r w:rsidRPr="00C17BF9">
        <w:rPr>
          <w:rFonts w:ascii="Arial" w:hAnsi="Arial" w:cs="Arial"/>
          <w:sz w:val="20"/>
          <w:szCs w:val="20"/>
        </w:rPr>
        <w:t xml:space="preserve">: </w:t>
      </w:r>
      <w:r w:rsidR="008041D4" w:rsidRPr="00C17BF9">
        <w:rPr>
          <w:rFonts w:ascii="Arial" w:hAnsi="Arial" w:cs="Arial"/>
          <w:sz w:val="20"/>
          <w:szCs w:val="20"/>
        </w:rPr>
        <w:t>20 – 22.10.2026 r.,</w:t>
      </w:r>
    </w:p>
    <w:p w:rsidR="008041D4" w:rsidRPr="00C17BF9" w:rsidRDefault="00026C0A" w:rsidP="008041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b/>
          <w:sz w:val="20"/>
          <w:szCs w:val="20"/>
        </w:rPr>
        <w:t>Czas</w:t>
      </w:r>
      <w:r w:rsidR="003F4FF9" w:rsidRPr="00C17BF9">
        <w:rPr>
          <w:rFonts w:ascii="Arial" w:hAnsi="Arial" w:cs="Arial"/>
          <w:sz w:val="20"/>
          <w:szCs w:val="20"/>
        </w:rPr>
        <w:t>:</w:t>
      </w:r>
      <w:r w:rsidR="008041D4" w:rsidRPr="00C17BF9">
        <w:rPr>
          <w:rFonts w:ascii="Arial" w:hAnsi="Arial" w:cs="Arial"/>
          <w:sz w:val="20"/>
          <w:szCs w:val="20"/>
        </w:rPr>
        <w:t xml:space="preserve"> </w:t>
      </w:r>
      <w:r w:rsidR="008041D4" w:rsidRPr="00C17BF9">
        <w:rPr>
          <w:rFonts w:ascii="Arial" w:hAnsi="Arial" w:cs="Arial"/>
          <w:sz w:val="20"/>
          <w:szCs w:val="20"/>
        </w:rPr>
        <w:t>łącznie 20 godzin dydaktycznych (godzina dydaktyczna to 45 minut) tj.:</w:t>
      </w:r>
    </w:p>
    <w:p w:rsidR="008041D4" w:rsidRPr="00C17BF9" w:rsidRDefault="008041D4" w:rsidP="008041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sz w:val="20"/>
          <w:szCs w:val="20"/>
        </w:rPr>
        <w:t>20.10.2026 r. - w godz. 09.00 – 14.25 (z przerwami),</w:t>
      </w:r>
    </w:p>
    <w:p w:rsidR="008041D4" w:rsidRPr="00C17BF9" w:rsidRDefault="008041D4" w:rsidP="008041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sz w:val="20"/>
          <w:szCs w:val="20"/>
        </w:rPr>
        <w:t>21.10.2026 r. - w godz. 08.00 – 14.25 (z przerwami),</w:t>
      </w:r>
    </w:p>
    <w:p w:rsidR="00A82BB6" w:rsidRPr="00C17BF9" w:rsidRDefault="008041D4" w:rsidP="008041D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sz w:val="20"/>
          <w:szCs w:val="20"/>
        </w:rPr>
        <w:t>22.10.2026 r. - w godz. 08.00 – 14.25 (z przerwami).</w:t>
      </w:r>
    </w:p>
    <w:p w:rsidR="00373CA9" w:rsidRPr="00C17BF9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7BF9">
        <w:rPr>
          <w:rFonts w:ascii="Arial" w:hAnsi="Arial" w:cs="Arial"/>
          <w:b/>
          <w:sz w:val="20"/>
          <w:szCs w:val="20"/>
        </w:rPr>
        <w:t>Mie</w:t>
      </w:r>
      <w:r w:rsidR="004F239B" w:rsidRPr="00C17BF9">
        <w:rPr>
          <w:rFonts w:ascii="Arial" w:hAnsi="Arial" w:cs="Arial"/>
          <w:b/>
          <w:sz w:val="20"/>
          <w:szCs w:val="20"/>
        </w:rPr>
        <w:t xml:space="preserve">jsce realizacji: </w:t>
      </w:r>
      <w:r w:rsidR="00771A2F" w:rsidRPr="00C17BF9">
        <w:rPr>
          <w:rFonts w:ascii="Arial" w:hAnsi="Arial" w:cs="Arial"/>
          <w:sz w:val="20"/>
          <w:szCs w:val="20"/>
        </w:rPr>
        <w:t>Ośrodek Szkoleń Specjalistycznych Straży Granicznej w Lubaniu, 59-800 Lubań, ul. Wojska Polskiego 2.</w:t>
      </w:r>
    </w:p>
    <w:p w:rsidR="00B046F3" w:rsidRPr="00C17BF9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041D4" w:rsidRPr="00C17BF9" w:rsidRDefault="005C6F6D" w:rsidP="008041D4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17BF9">
        <w:rPr>
          <w:rFonts w:ascii="Arial" w:hAnsi="Arial" w:cs="Arial"/>
          <w:b/>
          <w:sz w:val="20"/>
          <w:szCs w:val="20"/>
        </w:rPr>
        <w:t>Tematy i szczegółowe treści :</w:t>
      </w: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Subkontynent Indyjski – charakterystyka państw regionu - 2 godz. dydaktyczne</w:t>
      </w:r>
    </w:p>
    <w:p w:rsidR="008041D4" w:rsidRPr="00C17BF9" w:rsidRDefault="008041D4" w:rsidP="008041D4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Subkontynent Indyjski - rys historyczny i aktualna sytuacja w regionie.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Bieżąca sytuacja w państwach Subkontynentu Indyjskiego – 3 godz. dydaktyczne</w:t>
      </w:r>
    </w:p>
    <w:p w:rsidR="008041D4" w:rsidRPr="00C17BF9" w:rsidRDefault="008041D4" w:rsidP="008041D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Aktualne rozmieszczenie państw Subkontynentu Indyjskiego na mapie politycznej świata.</w:t>
      </w:r>
    </w:p>
    <w:p w:rsidR="008041D4" w:rsidRPr="00C17BF9" w:rsidRDefault="008041D4" w:rsidP="008041D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Aktualna sytuacja ekonomiczna w państwach regionu.</w:t>
      </w:r>
    </w:p>
    <w:p w:rsidR="008041D4" w:rsidRPr="00C17BF9" w:rsidRDefault="008041D4" w:rsidP="008041D4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Opis źródeł i zasady wyszukiwania informacji na temat Subkontynentu Indyjskiego.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 xml:space="preserve">Kulturowe modele </w:t>
      </w:r>
      <w:proofErr w:type="spellStart"/>
      <w:r w:rsidRPr="00C17BF9">
        <w:rPr>
          <w:rFonts w:ascii="Arial" w:eastAsiaTheme="minorHAnsi" w:hAnsi="Arial" w:cs="Arial"/>
          <w:b/>
          <w:bCs/>
          <w:sz w:val="20"/>
          <w:szCs w:val="20"/>
        </w:rPr>
        <w:t>zachowań</w:t>
      </w:r>
      <w:proofErr w:type="spellEnd"/>
      <w:r w:rsidRPr="00C17BF9">
        <w:rPr>
          <w:rFonts w:ascii="Arial" w:eastAsiaTheme="minorHAnsi" w:hAnsi="Arial" w:cs="Arial"/>
          <w:b/>
          <w:bCs/>
          <w:sz w:val="20"/>
          <w:szCs w:val="20"/>
        </w:rPr>
        <w:t xml:space="preserve"> przedstawicieli Subkontynentu Indyjskiego –</w:t>
      </w:r>
      <w:r w:rsidR="00C17BF9" w:rsidRPr="00C17BF9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Pr="00C17BF9">
        <w:rPr>
          <w:rFonts w:ascii="Arial" w:eastAsiaTheme="minorHAnsi" w:hAnsi="Arial" w:cs="Arial"/>
          <w:b/>
          <w:bCs/>
          <w:sz w:val="20"/>
          <w:szCs w:val="20"/>
        </w:rPr>
        <w:t>4 godz. dydaktyczne</w:t>
      </w:r>
    </w:p>
    <w:p w:rsidR="008041D4" w:rsidRPr="00C17BF9" w:rsidRDefault="008041D4" w:rsidP="008041D4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 xml:space="preserve">Kulturowy kontekst </w:t>
      </w:r>
      <w:proofErr w:type="spellStart"/>
      <w:r w:rsidRPr="00C17BF9">
        <w:rPr>
          <w:rFonts w:ascii="Arial" w:eastAsiaTheme="minorHAnsi" w:hAnsi="Arial" w:cs="Arial"/>
          <w:sz w:val="20"/>
          <w:szCs w:val="20"/>
        </w:rPr>
        <w:t>zachowań</w:t>
      </w:r>
      <w:proofErr w:type="spellEnd"/>
      <w:r w:rsidRPr="00C17BF9">
        <w:rPr>
          <w:rFonts w:ascii="Arial" w:eastAsiaTheme="minorHAnsi" w:hAnsi="Arial" w:cs="Arial"/>
          <w:sz w:val="20"/>
          <w:szCs w:val="20"/>
        </w:rPr>
        <w:t xml:space="preserve"> przedstawicieli Subkontynentu Indyjskiego.</w:t>
      </w:r>
    </w:p>
    <w:p w:rsidR="008041D4" w:rsidRPr="00C17BF9" w:rsidRDefault="008041D4" w:rsidP="008041D4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System wartości przedstawicieli poszczególnych grup etnicznych regionu.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Hinduizm i inne praktyki religijne Subkontynentu Indyjskiego – 3 godz. dydaktyczne</w:t>
      </w:r>
    </w:p>
    <w:p w:rsidR="008041D4" w:rsidRPr="00C17BF9" w:rsidRDefault="008041D4" w:rsidP="008041D4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Charakterystyka wyznań Subkontynentu Indyjskiego:</w:t>
      </w:r>
    </w:p>
    <w:p w:rsidR="008041D4" w:rsidRPr="00C17BF9" w:rsidRDefault="008041D4" w:rsidP="008041D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firstLine="348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Hinduizm,</w:t>
      </w:r>
    </w:p>
    <w:p w:rsidR="008041D4" w:rsidRPr="00C17BF9" w:rsidRDefault="008041D4" w:rsidP="008041D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firstLine="348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Buddyzm,</w:t>
      </w:r>
    </w:p>
    <w:p w:rsidR="008041D4" w:rsidRPr="00C17BF9" w:rsidRDefault="008041D4" w:rsidP="008041D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firstLine="348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Dżinizm,</w:t>
      </w:r>
    </w:p>
    <w:p w:rsidR="008041D4" w:rsidRPr="00C17BF9" w:rsidRDefault="008041D4" w:rsidP="008041D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firstLine="348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Islam,</w:t>
      </w:r>
    </w:p>
    <w:p w:rsidR="008041D4" w:rsidRPr="00C17BF9" w:rsidRDefault="008041D4" w:rsidP="008041D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851" w:firstLine="348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Sikhizm.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99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Indyjsko – pakistański konflikt o Kaszmir – 2 godz. dydaktyczne</w:t>
      </w:r>
    </w:p>
    <w:p w:rsidR="008041D4" w:rsidRPr="00C17BF9" w:rsidRDefault="008041D4" w:rsidP="008041D4">
      <w:pPr>
        <w:pStyle w:val="Akapitzlist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Historyczne przyczyny konfliktu o Kaszmir - przebieg i skutki konfliktu.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Warsztat kształtowania kompetencji międzykulturowych – 4 godz. dydaktyczne</w:t>
      </w:r>
    </w:p>
    <w:p w:rsidR="008041D4" w:rsidRPr="00C17BF9" w:rsidRDefault="008041D4" w:rsidP="008041D4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Geopolityczna, etniczna oraz wyznaniowa mapa regionu – rekapitulacja.</w:t>
      </w:r>
    </w:p>
    <w:p w:rsidR="008041D4" w:rsidRPr="00C17BF9" w:rsidRDefault="008041D4" w:rsidP="008041D4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Najważniejsze systemy wartości oraz elementy komunikacji interpersonalnej mieszkańców Subkontynentu Indyjskiego.</w:t>
      </w:r>
    </w:p>
    <w:p w:rsidR="008041D4" w:rsidRPr="00C17BF9" w:rsidRDefault="008041D4" w:rsidP="008041D4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ascii="Arial" w:eastAsiaTheme="minorHAnsi" w:hAnsi="Arial" w:cs="Arial"/>
          <w:sz w:val="20"/>
          <w:szCs w:val="20"/>
        </w:rPr>
      </w:pPr>
    </w:p>
    <w:p w:rsidR="008041D4" w:rsidRPr="00C17BF9" w:rsidRDefault="008041D4" w:rsidP="008041D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  <w:r w:rsidRPr="00C17BF9">
        <w:rPr>
          <w:rFonts w:ascii="Arial" w:eastAsiaTheme="minorHAnsi" w:hAnsi="Arial" w:cs="Arial"/>
          <w:b/>
          <w:bCs/>
          <w:sz w:val="20"/>
          <w:szCs w:val="20"/>
        </w:rPr>
        <w:t>Migracje cudzoziemców z Subkontynentu Indyjskiego do Polski i Europy – 2 godz. Dydaktyczne</w:t>
      </w:r>
    </w:p>
    <w:p w:rsidR="008041D4" w:rsidRPr="00C17BF9" w:rsidRDefault="008041D4" w:rsidP="008041D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0"/>
          <w:szCs w:val="20"/>
        </w:rPr>
      </w:pPr>
    </w:p>
    <w:p w:rsidR="00A82BB6" w:rsidRPr="00C17BF9" w:rsidRDefault="008041D4" w:rsidP="005E4783">
      <w:pPr>
        <w:pStyle w:val="Akapitzlist"/>
        <w:numPr>
          <w:ilvl w:val="1"/>
          <w:numId w:val="19"/>
        </w:numPr>
        <w:tabs>
          <w:tab w:val="left" w:pos="4005"/>
        </w:tabs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C17BF9">
        <w:rPr>
          <w:rFonts w:ascii="Arial" w:eastAsiaTheme="minorHAnsi" w:hAnsi="Arial" w:cs="Arial"/>
          <w:sz w:val="20"/>
          <w:szCs w:val="20"/>
        </w:rPr>
        <w:t>Kierunki migracji cudzoziemców z Subkontynentu Indyjskiego.</w:t>
      </w:r>
      <w:bookmarkStart w:id="0" w:name="_GoBack"/>
      <w:bookmarkEnd w:id="0"/>
    </w:p>
    <w:sectPr w:rsidR="00A82BB6" w:rsidRPr="00C17BF9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F325D"/>
    <w:multiLevelType w:val="hybridMultilevel"/>
    <w:tmpl w:val="B176A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E0502C3"/>
    <w:multiLevelType w:val="hybridMultilevel"/>
    <w:tmpl w:val="F17A7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44A6E2E"/>
    <w:multiLevelType w:val="hybridMultilevel"/>
    <w:tmpl w:val="54C8DE1E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526E1"/>
    <w:multiLevelType w:val="hybridMultilevel"/>
    <w:tmpl w:val="CF7EC8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AB6063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B3ED5"/>
    <w:multiLevelType w:val="hybridMultilevel"/>
    <w:tmpl w:val="EAA6A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8734588"/>
    <w:multiLevelType w:val="hybridMultilevel"/>
    <w:tmpl w:val="6E96D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37DF0"/>
    <w:multiLevelType w:val="hybridMultilevel"/>
    <w:tmpl w:val="BB740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7"/>
  </w:num>
  <w:num w:numId="4">
    <w:abstractNumId w:val="15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4"/>
  </w:num>
  <w:num w:numId="10">
    <w:abstractNumId w:val="1"/>
  </w:num>
  <w:num w:numId="11">
    <w:abstractNumId w:val="14"/>
  </w:num>
  <w:num w:numId="12">
    <w:abstractNumId w:val="3"/>
  </w:num>
  <w:num w:numId="13">
    <w:abstractNumId w:val="4"/>
  </w:num>
  <w:num w:numId="14">
    <w:abstractNumId w:val="9"/>
  </w:num>
  <w:num w:numId="15">
    <w:abstractNumId w:val="19"/>
  </w:num>
  <w:num w:numId="16">
    <w:abstractNumId w:val="13"/>
  </w:num>
  <w:num w:numId="17">
    <w:abstractNumId w:val="10"/>
  </w:num>
  <w:num w:numId="18">
    <w:abstractNumId w:val="20"/>
  </w:num>
  <w:num w:numId="19">
    <w:abstractNumId w:val="16"/>
  </w:num>
  <w:num w:numId="20">
    <w:abstractNumId w:val="23"/>
  </w:num>
  <w:num w:numId="21">
    <w:abstractNumId w:val="2"/>
  </w:num>
  <w:num w:numId="22">
    <w:abstractNumId w:val="5"/>
  </w:num>
  <w:num w:numId="23">
    <w:abstractNumId w:val="21"/>
  </w:num>
  <w:num w:numId="24">
    <w:abstractNumId w:val="18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F1682"/>
    <w:rsid w:val="001908DD"/>
    <w:rsid w:val="001C1008"/>
    <w:rsid w:val="002351DC"/>
    <w:rsid w:val="00291F6F"/>
    <w:rsid w:val="0029698D"/>
    <w:rsid w:val="002C0584"/>
    <w:rsid w:val="00332E9D"/>
    <w:rsid w:val="00373CA9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7063"/>
    <w:rsid w:val="00641C23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041D4"/>
    <w:rsid w:val="00871378"/>
    <w:rsid w:val="00885B48"/>
    <w:rsid w:val="0090663C"/>
    <w:rsid w:val="00944261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B046F3"/>
    <w:rsid w:val="00B23438"/>
    <w:rsid w:val="00B37E57"/>
    <w:rsid w:val="00B83660"/>
    <w:rsid w:val="00B86773"/>
    <w:rsid w:val="00B87E01"/>
    <w:rsid w:val="00B9639C"/>
    <w:rsid w:val="00C17BF9"/>
    <w:rsid w:val="00C52EE8"/>
    <w:rsid w:val="00C779A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940B8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86C7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79</cp:revision>
  <cp:lastPrinted>2025-07-31T08:46:00Z</cp:lastPrinted>
  <dcterms:created xsi:type="dcterms:W3CDTF">2024-07-22T12:16:00Z</dcterms:created>
  <dcterms:modified xsi:type="dcterms:W3CDTF">2026-07-31T09:56:00Z</dcterms:modified>
</cp:coreProperties>
</file>